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55" w:rsidRDefault="0080206E" w:rsidP="005F51E8">
      <w:pPr>
        <w:widowControl w:val="0"/>
        <w:pBdr>
          <w:top w:val="nil"/>
          <w:left w:val="nil"/>
          <w:bottom w:val="nil"/>
          <w:right w:val="nil"/>
          <w:between w:val="nil"/>
        </w:pBdr>
        <w:spacing w:after="0" w:line="276" w:lineRule="auto"/>
        <w:jc w:val="center"/>
        <w:rPr>
          <w:rFonts w:ascii="Avenir Next" w:hAnsi="Avenir Next"/>
          <w:b/>
          <w:sz w:val="22"/>
          <w:szCs w:val="22"/>
        </w:rPr>
      </w:pPr>
      <w:r>
        <w:rPr>
          <w:rFonts w:ascii="Avenir Next" w:hAnsi="Avenir Next"/>
          <w:sz w:val="22"/>
          <w:szCs w:val="22"/>
        </w:rPr>
        <w:pict w14:anchorId="5F2BD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7728;visibility:hidden">
            <o:lock v:ext="edit" selection="t"/>
          </v:shape>
        </w:pict>
      </w:r>
      <w:r w:rsidR="00E3563D" w:rsidRPr="005F51E8">
        <w:rPr>
          <w:rFonts w:ascii="Avenir Next" w:hAnsi="Avenir Next"/>
          <w:b/>
          <w:sz w:val="22"/>
          <w:szCs w:val="22"/>
          <w:u w:val="single"/>
        </w:rPr>
        <w:t>DOROTHY GEREKE FUND</w:t>
      </w:r>
      <w:r w:rsidR="00E3563D" w:rsidRPr="005F51E8">
        <w:rPr>
          <w:rFonts w:ascii="Avenir Next" w:hAnsi="Avenir Next"/>
          <w:b/>
          <w:sz w:val="22"/>
          <w:szCs w:val="22"/>
          <w:u w:val="single"/>
        </w:rPr>
        <w:br/>
      </w:r>
      <w:r w:rsidR="00E3563D" w:rsidRPr="005F51E8">
        <w:rPr>
          <w:rFonts w:ascii="Avenir Next" w:hAnsi="Avenir Next"/>
          <w:b/>
          <w:sz w:val="22"/>
          <w:szCs w:val="22"/>
        </w:rPr>
        <w:t>Information Sheet</w:t>
      </w:r>
    </w:p>
    <w:p w:rsidR="005F51E8" w:rsidRPr="005F51E8" w:rsidRDefault="005F51E8" w:rsidP="005F51E8">
      <w:pPr>
        <w:widowControl w:val="0"/>
        <w:pBdr>
          <w:top w:val="nil"/>
          <w:left w:val="nil"/>
          <w:bottom w:val="nil"/>
          <w:right w:val="nil"/>
          <w:between w:val="nil"/>
        </w:pBdr>
        <w:spacing w:after="0" w:line="276" w:lineRule="auto"/>
        <w:rPr>
          <w:rFonts w:ascii="Avenir Next" w:hAnsi="Avenir Next"/>
          <w:b/>
          <w:sz w:val="22"/>
          <w:szCs w:val="22"/>
        </w:rPr>
      </w:pPr>
    </w:p>
    <w:p w:rsidR="00691755" w:rsidRPr="005F51E8" w:rsidRDefault="00E3563D">
      <w:pPr>
        <w:rPr>
          <w:rFonts w:ascii="Avenir Next" w:hAnsi="Avenir Next"/>
          <w:sz w:val="22"/>
          <w:szCs w:val="22"/>
        </w:rPr>
      </w:pPr>
      <w:r w:rsidRPr="005F51E8">
        <w:rPr>
          <w:rFonts w:ascii="Avenir Next" w:hAnsi="Avenir Next"/>
          <w:sz w:val="22"/>
          <w:szCs w:val="22"/>
        </w:rPr>
        <w:t xml:space="preserve">The Dorothy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Fund is named for one of the co-founders of the TEC Movement. Dorothy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was instrumental in supporting the spiritual and practical needs of the first TEC community in the Diocese of Lansing, Michigan. In an effort to honor Dorothy and to provide for the spiritual and practical needs of TEC communities, the TEC Conference invites donors to come forward to fund this worthwhile initiative. The Dorothy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Fund is restricted to funding the annual (1)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Grants and the (2) TEC Enrichment Exchange. </w:t>
      </w:r>
    </w:p>
    <w:p w:rsidR="00691755" w:rsidRPr="005F51E8" w:rsidRDefault="00E3563D">
      <w:pPr>
        <w:rPr>
          <w:rFonts w:ascii="Avenir Next" w:hAnsi="Avenir Next"/>
          <w:b/>
          <w:color w:val="E04E39"/>
          <w:sz w:val="22"/>
          <w:szCs w:val="22"/>
          <w:u w:val="single"/>
        </w:rPr>
      </w:pPr>
      <w:r w:rsidRPr="005F51E8">
        <w:rPr>
          <w:rFonts w:ascii="Avenir Next" w:hAnsi="Avenir Next"/>
          <w:b/>
          <w:color w:val="E04E39"/>
          <w:sz w:val="22"/>
          <w:szCs w:val="22"/>
          <w:u w:val="single"/>
        </w:rPr>
        <w:t>Funding</w:t>
      </w:r>
      <w:r w:rsidRPr="005F51E8">
        <w:rPr>
          <w:rFonts w:ascii="Avenir Next" w:hAnsi="Avenir Next"/>
          <w:b/>
          <w:sz w:val="22"/>
          <w:szCs w:val="22"/>
        </w:rPr>
        <w:br/>
      </w:r>
      <w:r w:rsidRPr="005F51E8">
        <w:rPr>
          <w:rFonts w:ascii="Avenir Next" w:hAnsi="Avenir Next"/>
          <w:sz w:val="22"/>
          <w:szCs w:val="22"/>
        </w:rPr>
        <w:t xml:space="preserve">The Dorothy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Fund is maintained by donations solicited from the international TEC family. Donors are asked to provide a monthly recurring gift from their bank in the amount of $20 for a one-year term. </w:t>
      </w:r>
    </w:p>
    <w:p w:rsidR="00691755" w:rsidRPr="005F51E8" w:rsidRDefault="00E3563D">
      <w:pPr>
        <w:rPr>
          <w:rFonts w:ascii="Avenir Next" w:hAnsi="Avenir Next"/>
          <w:sz w:val="22"/>
          <w:szCs w:val="22"/>
        </w:rPr>
      </w:pPr>
      <w:r w:rsidRPr="005F51E8">
        <w:rPr>
          <w:rFonts w:ascii="Avenir Next" w:hAnsi="Avenir Next"/>
          <w:b/>
          <w:color w:val="E04E39"/>
          <w:sz w:val="22"/>
          <w:szCs w:val="22"/>
          <w:u w:val="single"/>
        </w:rPr>
        <w:t>Selection Process</w:t>
      </w:r>
      <w:r w:rsidRPr="005F51E8">
        <w:rPr>
          <w:rFonts w:ascii="Avenir Next" w:hAnsi="Avenir Next"/>
          <w:b/>
          <w:color w:val="E04E39"/>
          <w:sz w:val="22"/>
          <w:szCs w:val="22"/>
        </w:rPr>
        <w:br/>
      </w:r>
      <w:r w:rsidRPr="005F51E8">
        <w:rPr>
          <w:rFonts w:ascii="Avenir Next" w:hAnsi="Avenir Next"/>
          <w:sz w:val="22"/>
          <w:szCs w:val="22"/>
        </w:rPr>
        <w:t xml:space="preserve">During the month of January, a selection committee will examine applications for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Grants and the TEC Enrichment Exchange. The selection committee may ask any appropriate follow-up questions of applicants and TEC communities. With regard to the Enrichment Exchange, the Executive Director will coordinate with the selection committee to identify appropriate host communities. Considering the merits of each application, the selection committee may award any number of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Grants and/or Enrichment Exchanges as can be supported by the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Fund.</w:t>
      </w:r>
    </w:p>
    <w:p w:rsidR="00691755" w:rsidRPr="005F51E8" w:rsidRDefault="00E3563D">
      <w:pPr>
        <w:rPr>
          <w:rFonts w:ascii="Avenir Next" w:hAnsi="Avenir Next"/>
          <w:sz w:val="22"/>
          <w:szCs w:val="22"/>
        </w:rPr>
      </w:pPr>
      <w:r w:rsidRPr="005F51E8">
        <w:rPr>
          <w:rFonts w:ascii="Avenir Next" w:hAnsi="Avenir Next"/>
          <w:sz w:val="22"/>
          <w:szCs w:val="22"/>
        </w:rPr>
        <w:t xml:space="preserve">Award winners will be contacted in February.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 awards are disbursed immediately. Enrichment Exchange winners will receive their reimbursements (see below) at the conclusion of the trip.</w:t>
      </w:r>
    </w:p>
    <w:p w:rsidR="00691755" w:rsidRPr="005F51E8" w:rsidRDefault="00E3563D">
      <w:pPr>
        <w:rPr>
          <w:rFonts w:ascii="Avenir Next" w:hAnsi="Avenir Next"/>
          <w:sz w:val="22"/>
          <w:szCs w:val="22"/>
        </w:rPr>
      </w:pPr>
      <w:r w:rsidRPr="005F51E8">
        <w:rPr>
          <w:rFonts w:ascii="Avenir Next" w:hAnsi="Avenir Next"/>
          <w:sz w:val="22"/>
          <w:szCs w:val="22"/>
        </w:rPr>
        <w:t xml:space="preserve">For the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 the winning projects should be in the implementation phase (as distinct from a planning phase) by July.</w:t>
      </w:r>
    </w:p>
    <w:p w:rsidR="00691755" w:rsidRPr="005F51E8" w:rsidRDefault="00E3563D">
      <w:pPr>
        <w:rPr>
          <w:rFonts w:ascii="Avenir Next" w:hAnsi="Avenir Next"/>
          <w:sz w:val="22"/>
          <w:szCs w:val="22"/>
        </w:rPr>
      </w:pPr>
      <w:r w:rsidRPr="005F51E8">
        <w:rPr>
          <w:rFonts w:ascii="Avenir Next" w:hAnsi="Avenir Next"/>
          <w:sz w:val="22"/>
          <w:szCs w:val="22"/>
        </w:rPr>
        <w:t>For the Enrichment Exchange, the award will be for a specific location and date. The visit will happen within a year of the award. If the visit is canceled by the host community or the visitor, the TEC Conference will work with the visitor to reschedule the trip. However</w:t>
      </w:r>
      <w:r w:rsidR="00947CDC">
        <w:rPr>
          <w:rFonts w:ascii="Avenir Next" w:hAnsi="Avenir Next"/>
          <w:sz w:val="22"/>
          <w:szCs w:val="22"/>
        </w:rPr>
        <w:t>,</w:t>
      </w:r>
      <w:r w:rsidRPr="005F51E8">
        <w:rPr>
          <w:rFonts w:ascii="Avenir Next" w:hAnsi="Avenir Next"/>
          <w:sz w:val="22"/>
          <w:szCs w:val="22"/>
        </w:rPr>
        <w:t xml:space="preserve"> the visit must be completed within two years of the original award, or it will expire. In this circumstance, the applicant can re-apply.  </w:t>
      </w:r>
      <w:r w:rsidRPr="005F51E8">
        <w:rPr>
          <w:rFonts w:ascii="Avenir Next" w:hAnsi="Avenir Next"/>
          <w:sz w:val="22"/>
          <w:szCs w:val="22"/>
        </w:rPr>
        <w:br/>
      </w:r>
    </w:p>
    <w:p w:rsidR="005F51E8" w:rsidRPr="005F51E8" w:rsidRDefault="005F51E8">
      <w:pPr>
        <w:rPr>
          <w:rFonts w:ascii="Avenir Next" w:hAnsi="Avenir Next"/>
          <w:sz w:val="22"/>
          <w:szCs w:val="22"/>
        </w:rPr>
      </w:pPr>
    </w:p>
    <w:p w:rsidR="005F51E8" w:rsidRDefault="005F51E8">
      <w:pPr>
        <w:jc w:val="center"/>
        <w:rPr>
          <w:rFonts w:ascii="Avenir Next" w:hAnsi="Avenir Next"/>
          <w:b/>
          <w:sz w:val="22"/>
          <w:szCs w:val="22"/>
        </w:rPr>
      </w:pPr>
    </w:p>
    <w:p w:rsidR="005F51E8" w:rsidRPr="005F51E8" w:rsidRDefault="005F51E8">
      <w:pPr>
        <w:jc w:val="center"/>
        <w:rPr>
          <w:rFonts w:ascii="Avenir Next" w:hAnsi="Avenir Next"/>
          <w:b/>
          <w:sz w:val="22"/>
          <w:szCs w:val="22"/>
        </w:rPr>
      </w:pPr>
    </w:p>
    <w:p w:rsidR="00691755" w:rsidRPr="005F51E8" w:rsidRDefault="00E3563D">
      <w:pPr>
        <w:jc w:val="center"/>
        <w:rPr>
          <w:rFonts w:ascii="Avenir Next" w:hAnsi="Avenir Next"/>
          <w:b/>
          <w:sz w:val="22"/>
          <w:szCs w:val="22"/>
        </w:rPr>
      </w:pPr>
      <w:r w:rsidRPr="005F51E8">
        <w:rPr>
          <w:rFonts w:ascii="Avenir Next" w:hAnsi="Avenir Next"/>
          <w:b/>
          <w:sz w:val="22"/>
          <w:szCs w:val="22"/>
        </w:rPr>
        <w:lastRenderedPageBreak/>
        <w:t>(1) GEREKE GRANT</w:t>
      </w:r>
    </w:p>
    <w:p w:rsidR="00691755" w:rsidRPr="005F51E8" w:rsidRDefault="00E3563D">
      <w:pPr>
        <w:rPr>
          <w:rFonts w:ascii="Avenir Next" w:hAnsi="Avenir Next"/>
          <w:b/>
          <w:sz w:val="22"/>
          <w:szCs w:val="22"/>
        </w:rPr>
      </w:pPr>
      <w:r w:rsidRPr="005F51E8">
        <w:rPr>
          <w:rFonts w:ascii="Avenir Next" w:hAnsi="Avenir Next"/>
          <w:b/>
          <w:color w:val="E04E39"/>
          <w:sz w:val="22"/>
          <w:szCs w:val="22"/>
          <w:u w:val="single"/>
        </w:rPr>
        <w:t>Grant Applications</w:t>
      </w:r>
      <w:r w:rsidRPr="005F51E8">
        <w:rPr>
          <w:rFonts w:ascii="Avenir Next" w:hAnsi="Avenir Next"/>
          <w:b/>
          <w:color w:val="E04E39"/>
          <w:sz w:val="22"/>
          <w:szCs w:val="22"/>
        </w:rPr>
        <w:br/>
      </w:r>
      <w:r w:rsidRPr="005F51E8">
        <w:rPr>
          <w:rFonts w:ascii="Avenir Next" w:hAnsi="Avenir Next"/>
          <w:sz w:val="22"/>
          <w:szCs w:val="22"/>
        </w:rPr>
        <w:t xml:space="preserve">Core Team/Boards from TEC communities which are affiliated with the TEC Conference may submit an application for a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 any time before December 31. Selections will be made in January </w:t>
      </w:r>
      <w:r w:rsidRPr="005F51E8">
        <w:rPr>
          <w:rFonts w:ascii="Avenir Next" w:hAnsi="Avenir Next"/>
          <w:b/>
          <w:sz w:val="22"/>
          <w:szCs w:val="22"/>
        </w:rPr>
        <w:t>for as little as $100 or up to $1,000.</w:t>
      </w:r>
      <w:r w:rsidRPr="005F51E8">
        <w:rPr>
          <w:rFonts w:ascii="Avenir Next" w:hAnsi="Avenir Next"/>
          <w:sz w:val="22"/>
          <w:szCs w:val="22"/>
        </w:rPr>
        <w:t xml:space="preserve"> Grant funds may not be distributed to individuals.</w:t>
      </w:r>
      <w:r w:rsidRPr="005F51E8">
        <w:rPr>
          <w:rFonts w:ascii="Avenir Next" w:hAnsi="Avenir Next"/>
          <w:sz w:val="22"/>
          <w:szCs w:val="22"/>
        </w:rPr>
        <w:br/>
      </w:r>
      <w:r w:rsidR="005F51E8" w:rsidRPr="005F51E8">
        <w:rPr>
          <w:rFonts w:ascii="Avenir Next" w:hAnsi="Avenir Next"/>
          <w:b/>
          <w:color w:val="E04E39"/>
          <w:sz w:val="22"/>
          <w:szCs w:val="22"/>
          <w:u w:val="single"/>
        </w:rPr>
        <w:br/>
      </w:r>
      <w:r w:rsidRPr="005F51E8">
        <w:rPr>
          <w:rFonts w:ascii="Avenir Next" w:hAnsi="Avenir Next"/>
          <w:b/>
          <w:color w:val="E04E39"/>
          <w:sz w:val="22"/>
          <w:szCs w:val="22"/>
          <w:u w:val="single"/>
        </w:rPr>
        <w:t>Criteria</w:t>
      </w:r>
      <w:r w:rsidRPr="005F51E8">
        <w:rPr>
          <w:rFonts w:ascii="Avenir Next" w:hAnsi="Avenir Next"/>
          <w:b/>
          <w:color w:val="E04E39"/>
          <w:sz w:val="22"/>
          <w:szCs w:val="22"/>
        </w:rPr>
        <w:br/>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Grants are intended to benefit and strengthen affiliated TEC communities. Applications should demonstrate with specificity how funds will be used to benefit and strengthen that TEC community. A strong grant application proposes a project or initiative that will have a meaningful effect on a TEC community. The effect of this grant award should have a ripple effect locally and perhaps even beyond the boundaries of that TEC community. Appropriate uses include but are not limited to leadership formation, TEC manual study, Conference-sponsored workshops, community gatherings, local TEC promotions, or the purchase of needed resources. Applications must be complete and received at the TEC Conference before December 31, 202</w:t>
      </w:r>
      <w:r w:rsidR="00CC436A">
        <w:rPr>
          <w:rFonts w:ascii="Avenir Next" w:hAnsi="Avenir Next"/>
          <w:sz w:val="22"/>
          <w:szCs w:val="22"/>
        </w:rPr>
        <w:t>4</w:t>
      </w:r>
      <w:r w:rsidRPr="005F51E8">
        <w:rPr>
          <w:rFonts w:ascii="Avenir Next" w:hAnsi="Avenir Next"/>
          <w:sz w:val="22"/>
          <w:szCs w:val="22"/>
        </w:rPr>
        <w:t xml:space="preserve">. Grant monies must be used for the project described in the application and may not be redirected toward any other purpose. Preference may be shown for grant applications from TEC communities who have not won a grant in recent years. </w:t>
      </w:r>
      <w:r w:rsidRPr="005F51E8">
        <w:rPr>
          <w:rFonts w:ascii="Avenir Next" w:hAnsi="Avenir Next"/>
          <w:b/>
          <w:sz w:val="22"/>
          <w:szCs w:val="22"/>
        </w:rPr>
        <w:t>TEC communities who have won a grant in the p</w:t>
      </w:r>
      <w:r w:rsidR="005F51E8">
        <w:rPr>
          <w:rFonts w:ascii="Avenir Next" w:hAnsi="Avenir Next"/>
          <w:b/>
          <w:sz w:val="22"/>
          <w:szCs w:val="22"/>
        </w:rPr>
        <w:t>ast two years are not eligible.</w:t>
      </w:r>
      <w:r w:rsidR="005F51E8">
        <w:rPr>
          <w:rFonts w:ascii="Avenir Next" w:hAnsi="Avenir Next"/>
          <w:b/>
          <w:sz w:val="22"/>
          <w:szCs w:val="22"/>
        </w:rPr>
        <w:br/>
      </w:r>
    </w:p>
    <w:p w:rsidR="00691755" w:rsidRPr="005F51E8" w:rsidRDefault="00E3563D">
      <w:pPr>
        <w:rPr>
          <w:rFonts w:ascii="Avenir Next" w:hAnsi="Avenir Next"/>
          <w:b/>
          <w:sz w:val="22"/>
          <w:szCs w:val="22"/>
        </w:rPr>
      </w:pPr>
      <w:r w:rsidRPr="005F51E8">
        <w:rPr>
          <w:rFonts w:ascii="Avenir Next" w:hAnsi="Avenir Next"/>
          <w:b/>
          <w:color w:val="E04E39"/>
          <w:sz w:val="22"/>
          <w:szCs w:val="22"/>
          <w:u w:val="single"/>
        </w:rPr>
        <w:t>Report</w:t>
      </w:r>
      <w:r w:rsidRPr="005F51E8">
        <w:rPr>
          <w:rFonts w:ascii="Avenir Next" w:hAnsi="Avenir Next"/>
          <w:b/>
          <w:color w:val="E04E39"/>
          <w:sz w:val="22"/>
          <w:szCs w:val="22"/>
        </w:rPr>
        <w:br/>
      </w:r>
      <w:r w:rsidR="005D67D2">
        <w:rPr>
          <w:rFonts w:ascii="Avenir Next" w:hAnsi="Avenir Next"/>
          <w:sz w:val="22"/>
          <w:szCs w:val="22"/>
        </w:rPr>
        <w:t>No later than July 1, 2025</w:t>
      </w:r>
      <w:r w:rsidRPr="005F51E8">
        <w:rPr>
          <w:rFonts w:ascii="Avenir Next" w:hAnsi="Avenir Next"/>
          <w:sz w:val="22"/>
          <w:szCs w:val="22"/>
        </w:rPr>
        <w:t xml:space="preserve">, every community which received an award shall produce a written description of how the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Grant award is being used and how it is affecting the local TEC community. If possible, photographs should be provided. Portions of these reports will be proudly displayed at TEC Encounter each summer. The TEC Conference reserves the right to use, and the winning applicant consents to the use of, the report information, photographs, or video images received in advertising materials, both for the grant program and in general. </w:t>
      </w:r>
      <w:r w:rsidRPr="005F51E8">
        <w:rPr>
          <w:rFonts w:ascii="Avenir Next" w:hAnsi="Avenir Next"/>
          <w:b/>
          <w:sz w:val="22"/>
          <w:szCs w:val="22"/>
        </w:rPr>
        <w:t>Any unused funds must be returned to th</w:t>
      </w:r>
      <w:r w:rsidR="005D67D2">
        <w:rPr>
          <w:rFonts w:ascii="Avenir Next" w:hAnsi="Avenir Next"/>
          <w:b/>
          <w:sz w:val="22"/>
          <w:szCs w:val="22"/>
        </w:rPr>
        <w:t>e TEC Conference by October 2025</w:t>
      </w:r>
      <w:bookmarkStart w:id="0" w:name="_GoBack"/>
      <w:bookmarkEnd w:id="0"/>
      <w:r w:rsidRPr="005F51E8">
        <w:rPr>
          <w:rFonts w:ascii="Avenir Next" w:hAnsi="Avenir Next"/>
          <w:b/>
          <w:sz w:val="22"/>
          <w:szCs w:val="22"/>
        </w:rPr>
        <w:t>.</w:t>
      </w:r>
      <w:r w:rsidRPr="005F51E8">
        <w:rPr>
          <w:rFonts w:ascii="Avenir Next" w:hAnsi="Avenir Next"/>
          <w:b/>
          <w:sz w:val="22"/>
          <w:szCs w:val="22"/>
        </w:rPr>
        <w:br/>
      </w:r>
    </w:p>
    <w:p w:rsidR="00691755" w:rsidRPr="005F51E8" w:rsidRDefault="00E3563D">
      <w:pPr>
        <w:rPr>
          <w:rFonts w:ascii="Avenir Next" w:hAnsi="Avenir Next"/>
          <w:sz w:val="22"/>
          <w:szCs w:val="22"/>
        </w:rPr>
      </w:pPr>
      <w:r w:rsidRPr="005F51E8">
        <w:rPr>
          <w:rFonts w:ascii="Avenir Next" w:hAnsi="Avenir Next"/>
          <w:b/>
          <w:color w:val="E04E39"/>
          <w:sz w:val="22"/>
          <w:szCs w:val="22"/>
          <w:u w:val="single"/>
        </w:rPr>
        <w:t>The Nature of the Agreement</w:t>
      </w:r>
    </w:p>
    <w:p w:rsidR="00691755" w:rsidRPr="005F51E8" w:rsidRDefault="00E3563D">
      <w:pPr>
        <w:rPr>
          <w:rFonts w:ascii="Avenir Next" w:hAnsi="Avenir Next"/>
          <w:sz w:val="22"/>
          <w:szCs w:val="22"/>
        </w:rPr>
      </w:pPr>
      <w:r w:rsidRPr="005F51E8">
        <w:rPr>
          <w:rFonts w:ascii="Avenir Next" w:hAnsi="Avenir Next"/>
          <w:sz w:val="22"/>
          <w:szCs w:val="22"/>
        </w:rPr>
        <w:t>The TEC Conference is not entering into a joint venture or partnership for the applicant’s project and is a funding agency only. By submitting this application, you are representing that this project has the approval of the governing b</w:t>
      </w:r>
      <w:r w:rsidR="00CA1631">
        <w:rPr>
          <w:rFonts w:ascii="Avenir Next" w:hAnsi="Avenir Next"/>
          <w:sz w:val="22"/>
          <w:szCs w:val="22"/>
        </w:rPr>
        <w:t>ody of your local TEC community</w:t>
      </w:r>
      <w:r w:rsidRPr="005F51E8">
        <w:rPr>
          <w:rFonts w:ascii="Avenir Next" w:hAnsi="Avenir Next"/>
          <w:sz w:val="22"/>
          <w:szCs w:val="22"/>
        </w:rPr>
        <w:t xml:space="preserve"> and that the funds will be solely used for the project approved and for no other purpose.</w:t>
      </w:r>
    </w:p>
    <w:p w:rsidR="005F51E8" w:rsidRDefault="005F51E8">
      <w:pPr>
        <w:jc w:val="center"/>
        <w:rPr>
          <w:rFonts w:ascii="Avenir Next" w:hAnsi="Avenir Next"/>
          <w:b/>
          <w:sz w:val="22"/>
          <w:szCs w:val="22"/>
        </w:rPr>
      </w:pPr>
    </w:p>
    <w:p w:rsidR="00691755" w:rsidRPr="005F51E8" w:rsidRDefault="00E3563D">
      <w:pPr>
        <w:jc w:val="center"/>
        <w:rPr>
          <w:rFonts w:ascii="Avenir Next" w:hAnsi="Avenir Next"/>
          <w:b/>
          <w:sz w:val="22"/>
          <w:szCs w:val="22"/>
        </w:rPr>
      </w:pPr>
      <w:r w:rsidRPr="005F51E8">
        <w:rPr>
          <w:rFonts w:ascii="Avenir Next" w:hAnsi="Avenir Next"/>
          <w:b/>
          <w:sz w:val="22"/>
          <w:szCs w:val="22"/>
        </w:rPr>
        <w:lastRenderedPageBreak/>
        <w:t>(2) TEC ENRICHMENT EXCHANGE</w:t>
      </w:r>
    </w:p>
    <w:p w:rsidR="00691755" w:rsidRPr="005F51E8" w:rsidRDefault="00E3563D">
      <w:pPr>
        <w:rPr>
          <w:rFonts w:ascii="Avenir Next" w:hAnsi="Avenir Next"/>
          <w:sz w:val="22"/>
          <w:szCs w:val="22"/>
        </w:rPr>
      </w:pPr>
      <w:r w:rsidRPr="005F51E8">
        <w:rPr>
          <w:rFonts w:ascii="Avenir Next" w:hAnsi="Avenir Next"/>
          <w:b/>
          <w:color w:val="E04E39"/>
          <w:sz w:val="22"/>
          <w:szCs w:val="22"/>
          <w:u w:val="single"/>
        </w:rPr>
        <w:t>Traveling for TEC</w:t>
      </w:r>
      <w:r w:rsidRPr="005F51E8">
        <w:rPr>
          <w:rFonts w:ascii="Avenir Next" w:hAnsi="Avenir Next"/>
          <w:b/>
          <w:color w:val="E04E39"/>
          <w:sz w:val="22"/>
          <w:szCs w:val="22"/>
        </w:rPr>
        <w:br/>
      </w:r>
      <w:r w:rsidRPr="005F51E8">
        <w:rPr>
          <w:rFonts w:ascii="Avenir Next" w:hAnsi="Avenir Next"/>
          <w:sz w:val="22"/>
          <w:szCs w:val="22"/>
        </w:rPr>
        <w:t>One of Dorothy’s great joys was to travel to various TEC communities and share the bonds of community. We have witnessed the incredible benefits of TEC leaders who have the opportunity to visit another TEC community. The benefits go far beyond the fun of travel or the joy of making new friends, always bearing fruit for both the host TEC community and the visitor.</w:t>
      </w:r>
    </w:p>
    <w:p w:rsidR="00691755" w:rsidRPr="005F51E8" w:rsidRDefault="00E3563D">
      <w:pPr>
        <w:rPr>
          <w:rFonts w:ascii="Avenir Next" w:hAnsi="Avenir Next"/>
          <w:sz w:val="22"/>
          <w:szCs w:val="22"/>
        </w:rPr>
      </w:pPr>
      <w:r w:rsidRPr="005F51E8">
        <w:rPr>
          <w:rFonts w:ascii="Avenir Next" w:hAnsi="Avenir Next"/>
          <w:sz w:val="22"/>
          <w:szCs w:val="22"/>
        </w:rPr>
        <w:t xml:space="preserve">From the Dorothy </w:t>
      </w:r>
      <w:proofErr w:type="spellStart"/>
      <w:r w:rsidRPr="005F51E8">
        <w:rPr>
          <w:rFonts w:ascii="Avenir Next" w:hAnsi="Avenir Next"/>
          <w:sz w:val="22"/>
          <w:szCs w:val="22"/>
        </w:rPr>
        <w:t>Gereke</w:t>
      </w:r>
      <w:proofErr w:type="spellEnd"/>
      <w:r w:rsidRPr="005F51E8">
        <w:rPr>
          <w:rFonts w:ascii="Avenir Next" w:hAnsi="Avenir Next"/>
          <w:sz w:val="22"/>
          <w:szCs w:val="22"/>
        </w:rPr>
        <w:t xml:space="preserve"> Fund, the TEC Conference will sponsor the travel of a limited number of engaged TEC community members. </w:t>
      </w:r>
      <w:r w:rsidRPr="005F51E8">
        <w:rPr>
          <w:rFonts w:ascii="Avenir Next" w:hAnsi="Avenir Next"/>
          <w:b/>
          <w:sz w:val="22"/>
          <w:szCs w:val="22"/>
        </w:rPr>
        <w:t>The travel reimbursement will be made after the trip has concluded.</w:t>
      </w:r>
      <w:r w:rsidRPr="005F51E8">
        <w:rPr>
          <w:rFonts w:ascii="Avenir Next" w:hAnsi="Avenir Next"/>
          <w:sz w:val="22"/>
          <w:szCs w:val="22"/>
        </w:rPr>
        <w:t xml:space="preserve"> Fuel or airfare can be reimbursed up to $500 upon completion of the trip. The traveler will supply these receipts after the trip is concluded. The TEC Conference will also pay any team application fees in addition to the travel reimbursements.</w:t>
      </w:r>
      <w:r w:rsidR="005F51E8">
        <w:rPr>
          <w:rFonts w:ascii="Avenir Next" w:hAnsi="Avenir Next"/>
          <w:sz w:val="22"/>
          <w:szCs w:val="22"/>
        </w:rPr>
        <w:br/>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7"/>
        <w:gridCol w:w="6663"/>
      </w:tblGrid>
      <w:tr w:rsidR="00691755" w:rsidRPr="005F51E8">
        <w:trPr>
          <w:trHeight w:val="440"/>
        </w:trPr>
        <w:tc>
          <w:tcPr>
            <w:tcW w:w="9360" w:type="dxa"/>
            <w:gridSpan w:val="2"/>
            <w:shd w:val="clear" w:color="auto" w:fill="auto"/>
            <w:tcMar>
              <w:top w:w="100" w:type="dxa"/>
              <w:left w:w="100" w:type="dxa"/>
              <w:bottom w:w="100" w:type="dxa"/>
              <w:right w:w="100" w:type="dxa"/>
            </w:tcMar>
          </w:tcPr>
          <w:p w:rsidR="00691755" w:rsidRPr="005F51E8" w:rsidRDefault="00E3563D">
            <w:pPr>
              <w:rPr>
                <w:rFonts w:ascii="Avenir Next" w:hAnsi="Avenir Next"/>
                <w:b/>
                <w:sz w:val="22"/>
                <w:szCs w:val="22"/>
              </w:rPr>
            </w:pPr>
            <w:r w:rsidRPr="005F51E8">
              <w:rPr>
                <w:rFonts w:ascii="Avenir Next" w:hAnsi="Avenir Next"/>
                <w:b/>
                <w:sz w:val="22"/>
                <w:szCs w:val="22"/>
              </w:rPr>
              <w:t>Receipts that may be reimbursed (up to $500 total):</w:t>
            </w:r>
          </w:p>
        </w:tc>
      </w:tr>
      <w:tr w:rsidR="00691755" w:rsidRPr="005F51E8">
        <w:tc>
          <w:tcPr>
            <w:tcW w:w="2697" w:type="dxa"/>
            <w:shd w:val="clear" w:color="auto" w:fill="auto"/>
            <w:tcMar>
              <w:top w:w="100" w:type="dxa"/>
              <w:left w:w="100" w:type="dxa"/>
              <w:bottom w:w="100" w:type="dxa"/>
              <w:right w:w="100" w:type="dxa"/>
            </w:tcMar>
          </w:tcPr>
          <w:p w:rsidR="00691755" w:rsidRPr="005F51E8" w:rsidRDefault="00E3563D">
            <w:pPr>
              <w:widowControl w:val="0"/>
              <w:spacing w:after="0" w:line="240" w:lineRule="auto"/>
              <w:rPr>
                <w:rFonts w:ascii="Avenir Next" w:hAnsi="Avenir Next"/>
                <w:sz w:val="22"/>
                <w:szCs w:val="22"/>
              </w:rPr>
            </w:pPr>
            <w:r w:rsidRPr="005F51E8">
              <w:rPr>
                <w:rFonts w:ascii="Avenir Next" w:hAnsi="Avenir Next"/>
                <w:sz w:val="22"/>
                <w:szCs w:val="22"/>
              </w:rPr>
              <w:t>Gasoline &amp; Tolls</w:t>
            </w:r>
          </w:p>
        </w:tc>
        <w:tc>
          <w:tcPr>
            <w:tcW w:w="6663" w:type="dxa"/>
            <w:shd w:val="clear" w:color="auto" w:fill="auto"/>
            <w:tcMar>
              <w:top w:w="100" w:type="dxa"/>
              <w:left w:w="100" w:type="dxa"/>
              <w:bottom w:w="100" w:type="dxa"/>
              <w:right w:w="100" w:type="dxa"/>
            </w:tcMar>
          </w:tcPr>
          <w:p w:rsidR="00691755" w:rsidRPr="005F51E8" w:rsidRDefault="00E3563D">
            <w:pPr>
              <w:widowControl w:val="0"/>
              <w:spacing w:after="0" w:line="240" w:lineRule="auto"/>
              <w:rPr>
                <w:rFonts w:ascii="Avenir Next" w:hAnsi="Avenir Next"/>
                <w:sz w:val="22"/>
                <w:szCs w:val="22"/>
              </w:rPr>
            </w:pPr>
            <w:r w:rsidRPr="005F51E8">
              <w:rPr>
                <w:rFonts w:ascii="Avenir Next" w:hAnsi="Avenir Next"/>
                <w:sz w:val="22"/>
                <w:szCs w:val="22"/>
              </w:rPr>
              <w:t>Reimbursable.</w:t>
            </w:r>
          </w:p>
        </w:tc>
      </w:tr>
      <w:tr w:rsidR="00691755" w:rsidRPr="005F51E8">
        <w:tc>
          <w:tcPr>
            <w:tcW w:w="2697"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Airfare</w:t>
            </w:r>
          </w:p>
        </w:tc>
        <w:tc>
          <w:tcPr>
            <w:tcW w:w="6663"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Reimbursable.</w:t>
            </w:r>
          </w:p>
        </w:tc>
      </w:tr>
      <w:tr w:rsidR="00691755" w:rsidRPr="005F51E8">
        <w:tc>
          <w:tcPr>
            <w:tcW w:w="2697"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Uber, Lyft, Taxi, etc.</w:t>
            </w:r>
          </w:p>
        </w:tc>
        <w:tc>
          <w:tcPr>
            <w:tcW w:w="6663"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Reimbursable, if unsuccessful efforts have been made to identify a local TEC community volunteer driver.</w:t>
            </w:r>
          </w:p>
        </w:tc>
      </w:tr>
      <w:tr w:rsidR="00691755" w:rsidRPr="005F51E8">
        <w:tc>
          <w:tcPr>
            <w:tcW w:w="2697" w:type="dxa"/>
            <w:shd w:val="clear" w:color="auto" w:fill="auto"/>
            <w:tcMar>
              <w:top w:w="100" w:type="dxa"/>
              <w:left w:w="100" w:type="dxa"/>
              <w:bottom w:w="100" w:type="dxa"/>
              <w:right w:w="100" w:type="dxa"/>
            </w:tcMar>
          </w:tcPr>
          <w:p w:rsidR="00691755" w:rsidRPr="005F51E8" w:rsidRDefault="00E3563D">
            <w:pPr>
              <w:widowControl w:val="0"/>
              <w:spacing w:after="0" w:line="240" w:lineRule="auto"/>
              <w:rPr>
                <w:rFonts w:ascii="Avenir Next" w:hAnsi="Avenir Next"/>
                <w:sz w:val="22"/>
                <w:szCs w:val="22"/>
              </w:rPr>
            </w:pPr>
            <w:r w:rsidRPr="005F51E8">
              <w:rPr>
                <w:rFonts w:ascii="Avenir Next" w:hAnsi="Avenir Next"/>
                <w:sz w:val="22"/>
                <w:szCs w:val="22"/>
              </w:rPr>
              <w:t>Rental Cars</w:t>
            </w:r>
          </w:p>
        </w:tc>
        <w:tc>
          <w:tcPr>
            <w:tcW w:w="6663" w:type="dxa"/>
            <w:shd w:val="clear" w:color="auto" w:fill="auto"/>
            <w:tcMar>
              <w:top w:w="100" w:type="dxa"/>
              <w:left w:w="100" w:type="dxa"/>
              <w:bottom w:w="100" w:type="dxa"/>
              <w:right w:w="100" w:type="dxa"/>
            </w:tcMar>
          </w:tcPr>
          <w:p w:rsidR="00691755" w:rsidRPr="005F51E8" w:rsidRDefault="00E3563D">
            <w:pPr>
              <w:widowControl w:val="0"/>
              <w:spacing w:after="0" w:line="240" w:lineRule="auto"/>
              <w:rPr>
                <w:rFonts w:ascii="Avenir Next" w:hAnsi="Avenir Next"/>
                <w:sz w:val="22"/>
                <w:szCs w:val="22"/>
              </w:rPr>
            </w:pPr>
            <w:r w:rsidRPr="005F51E8">
              <w:rPr>
                <w:rFonts w:ascii="Avenir Next" w:hAnsi="Avenir Next"/>
                <w:sz w:val="22"/>
                <w:szCs w:val="22"/>
              </w:rPr>
              <w:t>Coordinate in advance with the TEC Conference. Reimbursable, if unsuccessful efforts have been made to identify a local TEC community volunteer driver.</w:t>
            </w:r>
          </w:p>
        </w:tc>
      </w:tr>
      <w:tr w:rsidR="00691755" w:rsidRPr="005F51E8">
        <w:tc>
          <w:tcPr>
            <w:tcW w:w="2697"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Lodging</w:t>
            </w:r>
          </w:p>
        </w:tc>
        <w:tc>
          <w:tcPr>
            <w:tcW w:w="6663"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 xml:space="preserve">Coordinate in advance with the TEC Conference. Hotel receipts may be reimbursable if unsuccessful efforts have been made to identify a local host. </w:t>
            </w:r>
          </w:p>
        </w:tc>
      </w:tr>
      <w:tr w:rsidR="00691755" w:rsidRPr="005F51E8">
        <w:tc>
          <w:tcPr>
            <w:tcW w:w="2697"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Food (meals/snacks)</w:t>
            </w:r>
          </w:p>
        </w:tc>
        <w:tc>
          <w:tcPr>
            <w:tcW w:w="6663" w:type="dxa"/>
            <w:shd w:val="clear" w:color="auto" w:fill="auto"/>
            <w:tcMar>
              <w:top w:w="100" w:type="dxa"/>
              <w:left w:w="100" w:type="dxa"/>
              <w:bottom w:w="100" w:type="dxa"/>
              <w:right w:w="100" w:type="dxa"/>
            </w:tcMar>
          </w:tcPr>
          <w:p w:rsidR="00691755" w:rsidRPr="005F51E8" w:rsidRDefault="00E3563D">
            <w:pPr>
              <w:widowControl w:val="0"/>
              <w:pBdr>
                <w:top w:val="nil"/>
                <w:left w:val="nil"/>
                <w:bottom w:val="nil"/>
                <w:right w:val="nil"/>
                <w:between w:val="nil"/>
              </w:pBdr>
              <w:spacing w:after="0" w:line="240" w:lineRule="auto"/>
              <w:rPr>
                <w:rFonts w:ascii="Avenir Next" w:hAnsi="Avenir Next"/>
                <w:sz w:val="22"/>
                <w:szCs w:val="22"/>
              </w:rPr>
            </w:pPr>
            <w:r w:rsidRPr="005F51E8">
              <w:rPr>
                <w:rFonts w:ascii="Avenir Next" w:hAnsi="Avenir Next"/>
                <w:sz w:val="22"/>
                <w:szCs w:val="22"/>
              </w:rPr>
              <w:t>Not reimbursable.</w:t>
            </w:r>
          </w:p>
        </w:tc>
      </w:tr>
    </w:tbl>
    <w:p w:rsidR="005F51E8" w:rsidRDefault="005F51E8">
      <w:pPr>
        <w:rPr>
          <w:rFonts w:ascii="Avenir Next" w:hAnsi="Avenir Next"/>
          <w:sz w:val="22"/>
          <w:szCs w:val="22"/>
        </w:rPr>
      </w:pPr>
      <w:r>
        <w:rPr>
          <w:rFonts w:ascii="Avenir Next" w:hAnsi="Avenir Next"/>
          <w:sz w:val="22"/>
          <w:szCs w:val="22"/>
        </w:rPr>
        <w:br/>
      </w:r>
    </w:p>
    <w:p w:rsidR="00691755" w:rsidRPr="005F51E8" w:rsidRDefault="00E3563D">
      <w:pPr>
        <w:rPr>
          <w:rFonts w:ascii="Avenir Next" w:hAnsi="Avenir Next"/>
          <w:sz w:val="22"/>
          <w:szCs w:val="22"/>
        </w:rPr>
      </w:pPr>
      <w:r w:rsidRPr="005F51E8">
        <w:rPr>
          <w:rFonts w:ascii="Avenir Next" w:hAnsi="Avenir Next"/>
          <w:sz w:val="22"/>
          <w:szCs w:val="22"/>
        </w:rPr>
        <w:t>The applicant’s TEC community will endorse the applicant to travel and be a joyful witness to a host community, with the host community collaborating so as to make the visit worthwhile. The TEC Conference will work with both the visitor and the host community to develop an itinerary which will ensure a quality experience.</w:t>
      </w:r>
    </w:p>
    <w:p w:rsidR="00691755" w:rsidRPr="005F51E8" w:rsidRDefault="00E3563D">
      <w:pPr>
        <w:rPr>
          <w:rFonts w:ascii="Avenir Next" w:hAnsi="Avenir Next"/>
          <w:sz w:val="22"/>
          <w:szCs w:val="22"/>
        </w:rPr>
      </w:pPr>
      <w:r w:rsidRPr="005F51E8">
        <w:rPr>
          <w:rFonts w:ascii="Avenir Next" w:hAnsi="Avenir Next"/>
          <w:sz w:val="22"/>
          <w:szCs w:val="22"/>
        </w:rPr>
        <w:t xml:space="preserve">The shape of each visit may be different, depending upon the desired outcomes of the visitor and the opportunities available at various prospective host sites. Most commonly, the visit will </w:t>
      </w:r>
      <w:r w:rsidRPr="005F51E8">
        <w:rPr>
          <w:rFonts w:ascii="Avenir Next" w:hAnsi="Avenir Next"/>
          <w:sz w:val="22"/>
          <w:szCs w:val="22"/>
        </w:rPr>
        <w:lastRenderedPageBreak/>
        <w:t xml:space="preserve">include a TEC weekend. It may also include a local leadership meeting or other opportunities to meet the host TEC community and experience its leadership structure or fourth day traditions. </w:t>
      </w:r>
      <w:r w:rsidRPr="005F51E8">
        <w:rPr>
          <w:rFonts w:ascii="Avenir Next" w:hAnsi="Avenir Next"/>
          <w:sz w:val="22"/>
          <w:szCs w:val="22"/>
        </w:rPr>
        <w:br/>
      </w:r>
    </w:p>
    <w:p w:rsidR="00691755" w:rsidRPr="005F51E8" w:rsidRDefault="00E3563D">
      <w:pPr>
        <w:rPr>
          <w:rFonts w:ascii="Avenir Next" w:hAnsi="Avenir Next"/>
          <w:sz w:val="22"/>
          <w:szCs w:val="22"/>
        </w:rPr>
      </w:pPr>
      <w:r w:rsidRPr="005F51E8">
        <w:rPr>
          <w:rFonts w:ascii="Avenir Next" w:hAnsi="Avenir Next"/>
          <w:b/>
          <w:color w:val="E04E39"/>
          <w:sz w:val="22"/>
          <w:szCs w:val="22"/>
          <w:u w:val="single"/>
        </w:rPr>
        <w:t>Criteria</w:t>
      </w:r>
      <w:r w:rsidRPr="005F51E8">
        <w:rPr>
          <w:rFonts w:ascii="Avenir Next" w:hAnsi="Avenir Next"/>
          <w:b/>
          <w:color w:val="E04E39"/>
          <w:sz w:val="22"/>
          <w:szCs w:val="22"/>
        </w:rPr>
        <w:br/>
      </w:r>
      <w:r w:rsidRPr="005F51E8">
        <w:rPr>
          <w:rFonts w:ascii="Avenir Next" w:hAnsi="Avenir Next"/>
          <w:sz w:val="22"/>
          <w:szCs w:val="22"/>
        </w:rPr>
        <w:t xml:space="preserve">These travel vouchers are intended to benefit and strengthen affiliated TEC communities. After the application is completed by the applicant visitor, it is signed and submitted by the lay leader or Spiritual Director of their TEC community. </w:t>
      </w:r>
    </w:p>
    <w:p w:rsidR="00691755" w:rsidRPr="005F51E8" w:rsidRDefault="00E3563D">
      <w:pPr>
        <w:rPr>
          <w:rFonts w:ascii="Avenir Next" w:hAnsi="Avenir Next"/>
          <w:b/>
          <w:sz w:val="22"/>
          <w:szCs w:val="22"/>
        </w:rPr>
      </w:pPr>
      <w:r w:rsidRPr="005F51E8">
        <w:rPr>
          <w:rFonts w:ascii="Avenir Next" w:hAnsi="Avenir Next"/>
          <w:sz w:val="22"/>
          <w:szCs w:val="22"/>
        </w:rPr>
        <w:t xml:space="preserve">The visitor should be an engaged community member who understands appropriate boundaries and has the capacity to be present to a new TEC community without judging or comparing one TEC center to another. An important element of this project is for the visitor and the host community to share openly without engaging in intensive problem solving. </w:t>
      </w:r>
      <w:r w:rsidRPr="005F51E8">
        <w:rPr>
          <w:rFonts w:ascii="Avenir Next" w:hAnsi="Avenir Next"/>
          <w:b/>
          <w:sz w:val="22"/>
          <w:szCs w:val="22"/>
        </w:rPr>
        <w:t>The visitor should not use the funds as a means to pay for leisure travel. The visitor is being sent out on a mission.</w:t>
      </w:r>
    </w:p>
    <w:p w:rsidR="00691755" w:rsidRPr="005F51E8" w:rsidRDefault="00E3563D">
      <w:pPr>
        <w:rPr>
          <w:rFonts w:ascii="Avenir Next" w:hAnsi="Avenir Next"/>
          <w:b/>
          <w:sz w:val="22"/>
          <w:szCs w:val="22"/>
        </w:rPr>
      </w:pPr>
      <w:r w:rsidRPr="005F51E8">
        <w:rPr>
          <w:rFonts w:ascii="Avenir Next" w:hAnsi="Avenir Next"/>
          <w:sz w:val="22"/>
          <w:szCs w:val="22"/>
        </w:rPr>
        <w:t xml:space="preserve">Because funds are limited, preference may be given to applicants from living, recovering, or new TEC communities. Applicants who can be flexible with their destination (host community) and their available dates for the trip improve the likelihood of a TEC Enrichment Exchange. </w:t>
      </w:r>
      <w:r w:rsidR="00B95417">
        <w:rPr>
          <w:rFonts w:ascii="Avenir Next" w:hAnsi="Avenir Next"/>
          <w:b/>
          <w:sz w:val="22"/>
          <w:szCs w:val="22"/>
        </w:rPr>
        <w:t>Those</w:t>
      </w:r>
      <w:r w:rsidR="00B95417" w:rsidRPr="005F51E8">
        <w:rPr>
          <w:rFonts w:ascii="Avenir Next" w:hAnsi="Avenir Next"/>
          <w:b/>
          <w:sz w:val="22"/>
          <w:szCs w:val="22"/>
        </w:rPr>
        <w:t xml:space="preserve"> who </w:t>
      </w:r>
      <w:r w:rsidR="00B95417">
        <w:rPr>
          <w:rFonts w:ascii="Avenir Next" w:hAnsi="Avenir Next"/>
          <w:b/>
          <w:sz w:val="22"/>
          <w:szCs w:val="22"/>
        </w:rPr>
        <w:t xml:space="preserve">have won travel money from the Enrichment Exchange </w:t>
      </w:r>
      <w:r w:rsidR="00B95417" w:rsidRPr="005F51E8">
        <w:rPr>
          <w:rFonts w:ascii="Avenir Next" w:hAnsi="Avenir Next"/>
          <w:b/>
          <w:sz w:val="22"/>
          <w:szCs w:val="22"/>
        </w:rPr>
        <w:t>in the p</w:t>
      </w:r>
      <w:r w:rsidR="00B95417">
        <w:rPr>
          <w:rFonts w:ascii="Avenir Next" w:hAnsi="Avenir Next"/>
          <w:b/>
          <w:sz w:val="22"/>
          <w:szCs w:val="22"/>
        </w:rPr>
        <w:t>ast two years are not eligible.</w:t>
      </w:r>
      <w:r w:rsidR="00B95417">
        <w:rPr>
          <w:rFonts w:ascii="Avenir Next" w:hAnsi="Avenir Next"/>
          <w:b/>
          <w:sz w:val="22"/>
          <w:szCs w:val="22"/>
        </w:rPr>
        <w:br/>
      </w:r>
      <w:r w:rsidRPr="005F51E8">
        <w:rPr>
          <w:rFonts w:ascii="Avenir Next" w:hAnsi="Avenir Next"/>
          <w:sz w:val="22"/>
          <w:szCs w:val="22"/>
          <w:highlight w:val="yellow"/>
        </w:rPr>
        <w:br/>
      </w:r>
    </w:p>
    <w:p w:rsidR="00691755" w:rsidRPr="005F51E8" w:rsidRDefault="00E3563D">
      <w:pPr>
        <w:rPr>
          <w:rFonts w:ascii="Avenir Next" w:hAnsi="Avenir Next"/>
          <w:sz w:val="22"/>
          <w:szCs w:val="22"/>
        </w:rPr>
      </w:pPr>
      <w:r w:rsidRPr="005F51E8">
        <w:rPr>
          <w:rFonts w:ascii="Avenir Next" w:hAnsi="Avenir Next"/>
          <w:b/>
          <w:color w:val="E04E39"/>
          <w:sz w:val="22"/>
          <w:szCs w:val="22"/>
          <w:u w:val="single"/>
        </w:rPr>
        <w:t>Report</w:t>
      </w:r>
      <w:r w:rsidRPr="005F51E8">
        <w:rPr>
          <w:rFonts w:ascii="Avenir Next" w:hAnsi="Avenir Next"/>
          <w:b/>
          <w:color w:val="E04E39"/>
          <w:sz w:val="22"/>
          <w:szCs w:val="22"/>
        </w:rPr>
        <w:br/>
      </w:r>
      <w:r w:rsidRPr="005F51E8">
        <w:rPr>
          <w:rFonts w:ascii="Avenir Next" w:hAnsi="Avenir Next"/>
          <w:sz w:val="22"/>
          <w:szCs w:val="22"/>
        </w:rPr>
        <w:t xml:space="preserve">After the visit is complete, the TEC Conference will host a video conference to unpack the benefits of the experience. The host community and the visitor may be asked to provide a short testimony of the value of the experience. </w:t>
      </w:r>
      <w:r w:rsidRPr="005F51E8">
        <w:rPr>
          <w:rFonts w:ascii="Avenir Next" w:hAnsi="Avenir Next"/>
          <w:b/>
          <w:sz w:val="22"/>
          <w:szCs w:val="22"/>
        </w:rPr>
        <w:br/>
      </w:r>
    </w:p>
    <w:sectPr w:rsidR="00691755" w:rsidRPr="005F51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06E" w:rsidRDefault="0080206E">
      <w:pPr>
        <w:spacing w:after="0" w:line="240" w:lineRule="auto"/>
      </w:pPr>
      <w:r>
        <w:separator/>
      </w:r>
    </w:p>
  </w:endnote>
  <w:endnote w:type="continuationSeparator" w:id="0">
    <w:p w:rsidR="0080206E" w:rsidRDefault="0080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panose1 w:val="020B05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55" w:rsidRDefault="006917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55" w:rsidRDefault="00691755">
    <w:pPr>
      <w:tabs>
        <w:tab w:val="center" w:pos="4680"/>
        <w:tab w:val="right" w:pos="9360"/>
      </w:tabs>
      <w:rPr>
        <w:color w:val="000000"/>
      </w:rPr>
    </w:pPr>
    <w:bookmarkStart w:id="1" w:name="_heading=h.gjdgxs" w:colFirst="0" w:colLast="0"/>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55" w:rsidRDefault="006917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06E" w:rsidRDefault="0080206E">
      <w:pPr>
        <w:spacing w:after="0" w:line="240" w:lineRule="auto"/>
      </w:pPr>
      <w:r>
        <w:separator/>
      </w:r>
    </w:p>
  </w:footnote>
  <w:footnote w:type="continuationSeparator" w:id="0">
    <w:p w:rsidR="0080206E" w:rsidRDefault="0080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55" w:rsidRDefault="006917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55" w:rsidRDefault="0069175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55" w:rsidRDefault="0069175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55"/>
    <w:rsid w:val="003208D1"/>
    <w:rsid w:val="005D67D2"/>
    <w:rsid w:val="005F51E8"/>
    <w:rsid w:val="00691755"/>
    <w:rsid w:val="0080206E"/>
    <w:rsid w:val="00947CDC"/>
    <w:rsid w:val="00B95417"/>
    <w:rsid w:val="00CA1631"/>
    <w:rsid w:val="00CC436A"/>
    <w:rsid w:val="00DB75A2"/>
    <w:rsid w:val="00E3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D7A235"/>
  <w15:docId w15:val="{AF4415D1-F518-4AC8-A7BC-981538D5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Avenir" w:hAnsi="Avenir" w:cs="Avenir"/>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38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Address">
    <w:name w:val="envelope address"/>
    <w:basedOn w:val="Normal"/>
    <w:uiPriority w:val="99"/>
    <w:semiHidden/>
    <w:unhideWhenUsed/>
    <w:rsid w:val="00057C17"/>
    <w:pPr>
      <w:framePr w:w="7920" w:h="1980" w:hRule="exact" w:hSpace="180" w:wrap="auto" w:hAnchor="page" w:xAlign="center" w:yAlign="bottom"/>
      <w:spacing w:after="0" w:line="240" w:lineRule="auto"/>
      <w:ind w:left="2880"/>
    </w:pPr>
    <w:rPr>
      <w:rFonts w:ascii="Times New Roman" w:eastAsiaTheme="majorEastAsia" w:hAnsi="Times New Roman" w:cstheme="majorBidi"/>
    </w:rPr>
  </w:style>
  <w:style w:type="paragraph" w:styleId="BalloonText">
    <w:name w:val="Balloon Text"/>
    <w:basedOn w:val="Normal"/>
    <w:link w:val="BalloonTextChar"/>
    <w:uiPriority w:val="99"/>
    <w:semiHidden/>
    <w:unhideWhenUsed/>
    <w:rsid w:val="00C82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46"/>
    <w:rPr>
      <w:rFonts w:ascii="Segoe UI" w:hAnsi="Segoe UI" w:cs="Segoe UI"/>
      <w:sz w:val="18"/>
      <w:szCs w:val="18"/>
    </w:rPr>
  </w:style>
  <w:style w:type="paragraph" w:styleId="Header">
    <w:name w:val="header"/>
    <w:basedOn w:val="Normal"/>
    <w:link w:val="HeaderChar"/>
    <w:uiPriority w:val="99"/>
    <w:unhideWhenUsed/>
    <w:rsid w:val="000B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B77"/>
  </w:style>
  <w:style w:type="paragraph" w:styleId="Footer">
    <w:name w:val="footer"/>
    <w:basedOn w:val="Normal"/>
    <w:link w:val="FooterChar"/>
    <w:uiPriority w:val="99"/>
    <w:unhideWhenUsed/>
    <w:rsid w:val="000B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B77"/>
  </w:style>
  <w:style w:type="paragraph" w:styleId="ListParagraph">
    <w:name w:val="List Paragraph"/>
    <w:basedOn w:val="Normal"/>
    <w:uiPriority w:val="34"/>
    <w:qFormat/>
    <w:rsid w:val="009229F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mlVUdA4GwVs7z+iyneab+v+r/w==">AMUW2mVhOJXyszoTDvD12/31Y0mW56y/KaPX5tx3S/xm8GhqOPDKtVw06rEgJw2tji4CsXXQdVTA9sJ7GRt6TrvOjVg5rSvCnknKRKWdIYM37TALcn59eTv3wFamdHbgO77oCGpJJWDA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 Tran</cp:lastModifiedBy>
  <cp:revision>4</cp:revision>
  <dcterms:created xsi:type="dcterms:W3CDTF">2024-08-19T16:29:00Z</dcterms:created>
  <dcterms:modified xsi:type="dcterms:W3CDTF">2024-08-19T16:30:00Z</dcterms:modified>
</cp:coreProperties>
</file>